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A35" w:rsidRDefault="00983A35" w:rsidP="00683B31">
      <w:pPr>
        <w:pStyle w:val="Default"/>
        <w:jc w:val="center"/>
        <w:rPr>
          <w:rFonts w:hAnsi="Times New Roman"/>
          <w:sz w:val="21"/>
          <w:szCs w:val="21"/>
        </w:rPr>
      </w:pPr>
      <w:r>
        <w:rPr>
          <w:rFonts w:hint="eastAsia"/>
          <w:sz w:val="21"/>
          <w:szCs w:val="21"/>
        </w:rPr>
        <w:t>专业学位类别名称（代码）：工程（</w:t>
      </w:r>
      <w:r>
        <w:rPr>
          <w:rFonts w:ascii="Times New Roman" w:hAnsi="Times New Roman" w:cs="Times New Roman"/>
          <w:sz w:val="21"/>
          <w:szCs w:val="21"/>
        </w:rPr>
        <w:t>0852</w:t>
      </w:r>
      <w:r>
        <w:rPr>
          <w:rFonts w:hAnsi="Times New Roman" w:hint="eastAsia"/>
          <w:sz w:val="21"/>
          <w:szCs w:val="21"/>
        </w:rPr>
        <w:t>）</w:t>
      </w:r>
    </w:p>
    <w:p w:rsidR="00983A35" w:rsidRDefault="00983A35" w:rsidP="00983A35">
      <w:pPr>
        <w:pStyle w:val="Default"/>
        <w:rPr>
          <w:rFonts w:hAnsi="Times New Roman"/>
          <w:sz w:val="21"/>
          <w:szCs w:val="21"/>
        </w:rPr>
      </w:pPr>
      <w:r>
        <w:rPr>
          <w:rFonts w:hAnsi="Times New Roman" w:hint="eastAsia"/>
          <w:sz w:val="21"/>
          <w:szCs w:val="21"/>
        </w:rPr>
        <w:t>一、专业特色</w:t>
      </w:r>
    </w:p>
    <w:p w:rsidR="00983A35" w:rsidRDefault="00983A35" w:rsidP="00983A35">
      <w:pPr>
        <w:pStyle w:val="Default"/>
        <w:rPr>
          <w:rFonts w:ascii="宋体e眠副浡渀." w:eastAsia="宋体e眠副浡渀." w:hAnsi="Times New Roman" w:cs="宋体e眠副浡渀."/>
          <w:sz w:val="21"/>
          <w:szCs w:val="21"/>
        </w:rPr>
      </w:pPr>
      <w:r>
        <w:rPr>
          <w:rFonts w:ascii="Times New Roman" w:hAnsi="Times New Roman" w:cs="Times New Roman"/>
          <w:b/>
          <w:bCs/>
          <w:sz w:val="21"/>
          <w:szCs w:val="21"/>
        </w:rPr>
        <w:t>1</w:t>
      </w:r>
      <w:r>
        <w:rPr>
          <w:rFonts w:ascii="宋体e眠副浡渀." w:eastAsia="宋体e眠副浡渀." w:hAnsi="Times New Roman" w:cs="宋体e眠副浡渀." w:hint="eastAsia"/>
          <w:sz w:val="21"/>
          <w:szCs w:val="21"/>
        </w:rPr>
        <w:t>．专业特色。工程硕士专业学位是与特定工程领域任职资格相联系的专业性学位，主要培养在技术开发与应用、工程设计与实施、技术攻关与改造、工程规划与管理等方面的基础扎实、素质全面、工程实践能力强，并具有一定创新能力的应用型、复合型高层次工程技术与工程管理人才。申请时须申请</w:t>
      </w:r>
      <w:r>
        <w:rPr>
          <w:rFonts w:ascii="Times New Roman" w:eastAsia="宋体e眠副浡渀." w:hAnsi="Times New Roman" w:cs="Times New Roman"/>
          <w:sz w:val="21"/>
          <w:szCs w:val="21"/>
        </w:rPr>
        <w:t>2</w:t>
      </w:r>
      <w:r>
        <w:rPr>
          <w:rFonts w:ascii="宋体e眠副浡渀." w:eastAsia="宋体e眠副浡渀." w:hAnsi="Times New Roman" w:cs="宋体e眠副浡渀." w:hint="eastAsia"/>
          <w:sz w:val="21"/>
          <w:szCs w:val="21"/>
        </w:rPr>
        <w:t>个工程领域，每个工程领域的支撑学科不得重复且具有优势与特色，社会声誉良好；工程领域方向设置合理，适应行业和区域的需求。</w:t>
      </w:r>
    </w:p>
    <w:p w:rsidR="00983A35" w:rsidRDefault="00983A35" w:rsidP="00983A35">
      <w:pPr>
        <w:pStyle w:val="Default"/>
        <w:rPr>
          <w:rFonts w:hAnsi="Times New Roman"/>
          <w:sz w:val="21"/>
          <w:szCs w:val="21"/>
        </w:rPr>
      </w:pPr>
      <w:r>
        <w:rPr>
          <w:rFonts w:hAnsi="Times New Roman" w:hint="eastAsia"/>
          <w:sz w:val="21"/>
          <w:szCs w:val="21"/>
        </w:rPr>
        <w:t>二、师资队伍</w:t>
      </w:r>
    </w:p>
    <w:p w:rsidR="00983A35" w:rsidRDefault="00983A35" w:rsidP="00983A35">
      <w:pPr>
        <w:pStyle w:val="Default"/>
        <w:rPr>
          <w:rFonts w:ascii="宋体e眠副浡渀." w:eastAsia="宋体e眠副浡渀." w:hAnsi="Times New Roman" w:cs="宋体e眠副浡渀."/>
          <w:sz w:val="21"/>
          <w:szCs w:val="21"/>
        </w:rPr>
      </w:pPr>
      <w:r>
        <w:rPr>
          <w:rFonts w:ascii="Times New Roman" w:hAnsi="Times New Roman" w:cs="Times New Roman"/>
          <w:b/>
          <w:bCs/>
          <w:sz w:val="21"/>
          <w:szCs w:val="21"/>
        </w:rPr>
        <w:t>2</w:t>
      </w:r>
      <w:r>
        <w:rPr>
          <w:rFonts w:ascii="宋体e眠副浡渀." w:eastAsia="宋体e眠副浡渀." w:hAnsi="Times New Roman" w:cs="宋体e眠副浡渀." w:hint="eastAsia"/>
          <w:sz w:val="21"/>
          <w:szCs w:val="21"/>
        </w:rPr>
        <w:t>．人员规模。每个领域专任教师不少于</w:t>
      </w:r>
      <w:r>
        <w:rPr>
          <w:rFonts w:ascii="Times New Roman" w:eastAsia="宋体e眠副浡渀." w:hAnsi="Times New Roman" w:cs="Times New Roman"/>
          <w:sz w:val="21"/>
          <w:szCs w:val="21"/>
        </w:rPr>
        <w:t>20</w:t>
      </w:r>
      <w:r>
        <w:rPr>
          <w:rFonts w:ascii="宋体e眠副浡渀." w:eastAsia="宋体e眠副浡渀." w:hAnsi="Times New Roman" w:cs="宋体e眠副浡渀." w:hint="eastAsia"/>
          <w:sz w:val="21"/>
          <w:szCs w:val="21"/>
        </w:rPr>
        <w:t>人；应与本领域相关行（企）业高级工程技术或管理人员共同建设专业化教学团队和导师团队，参与本领域工程硕士研究生教学与指导的行（企）业教师人数不少于专任教师数的</w:t>
      </w:r>
      <w:r>
        <w:rPr>
          <w:rFonts w:ascii="Times New Roman" w:eastAsia="宋体e眠副浡渀." w:hAnsi="Times New Roman" w:cs="Times New Roman"/>
          <w:sz w:val="21"/>
          <w:szCs w:val="21"/>
        </w:rPr>
        <w:t>1/2</w:t>
      </w:r>
      <w:r>
        <w:rPr>
          <w:rFonts w:ascii="宋体e眠副浡渀." w:eastAsia="宋体e眠副浡渀." w:hAnsi="Times New Roman" w:cs="宋体e眠副浡渀." w:hint="eastAsia"/>
          <w:sz w:val="21"/>
          <w:szCs w:val="21"/>
        </w:rPr>
        <w:t>。</w:t>
      </w:r>
    </w:p>
    <w:p w:rsidR="00983A35" w:rsidRDefault="00983A35" w:rsidP="00983A35">
      <w:pPr>
        <w:pStyle w:val="Default"/>
        <w:rPr>
          <w:rFonts w:ascii="宋体e眠副浡渀." w:eastAsia="宋体e眠副浡渀." w:hAnsi="Times New Roman" w:cs="宋体e眠副浡渀."/>
          <w:sz w:val="21"/>
          <w:szCs w:val="21"/>
        </w:rPr>
      </w:pPr>
      <w:r>
        <w:rPr>
          <w:rFonts w:ascii="Times New Roman" w:eastAsia="宋体e眠副浡渀." w:hAnsi="Times New Roman" w:cs="Times New Roman"/>
          <w:b/>
          <w:bCs/>
          <w:sz w:val="21"/>
          <w:szCs w:val="21"/>
        </w:rPr>
        <w:t>3</w:t>
      </w:r>
      <w:r>
        <w:rPr>
          <w:rFonts w:ascii="宋体e眠副浡渀." w:eastAsia="宋体e眠副浡渀." w:hAnsi="Times New Roman" w:cs="宋体e眠副浡渀." w:hint="eastAsia"/>
          <w:sz w:val="21"/>
          <w:szCs w:val="21"/>
        </w:rPr>
        <w:t>．人员结构。师资队伍年龄结构合理，专任教师中，</w:t>
      </w:r>
      <w:r>
        <w:rPr>
          <w:rFonts w:ascii="Times New Roman" w:eastAsia="宋体e眠副浡渀." w:hAnsi="Times New Roman" w:cs="Times New Roman"/>
          <w:sz w:val="21"/>
          <w:szCs w:val="21"/>
        </w:rPr>
        <w:t>45</w:t>
      </w:r>
      <w:r>
        <w:rPr>
          <w:rFonts w:ascii="宋体e眠副浡渀." w:eastAsia="宋体e眠副浡渀." w:hAnsi="Times New Roman" w:cs="宋体e眠副浡渀." w:hint="eastAsia"/>
          <w:sz w:val="21"/>
          <w:szCs w:val="21"/>
        </w:rPr>
        <w:t>岁以下的比例不少于</w:t>
      </w:r>
      <w:r>
        <w:rPr>
          <w:rFonts w:ascii="Times New Roman" w:eastAsia="宋体e眠副浡渀." w:hAnsi="Times New Roman" w:cs="Times New Roman"/>
          <w:sz w:val="21"/>
          <w:szCs w:val="21"/>
        </w:rPr>
        <w:t>1/3</w:t>
      </w:r>
      <w:r>
        <w:rPr>
          <w:rFonts w:ascii="宋体e眠副浡渀." w:eastAsia="宋体e眠副浡渀." w:hAnsi="Times New Roman" w:cs="宋体e眠副浡渀." w:hint="eastAsia"/>
          <w:sz w:val="21"/>
          <w:szCs w:val="21"/>
        </w:rPr>
        <w:t>，具有博士学位的比例不少于</w:t>
      </w:r>
      <w:r>
        <w:rPr>
          <w:rFonts w:ascii="Times New Roman" w:eastAsia="宋体e眠副浡渀." w:hAnsi="Times New Roman" w:cs="Times New Roman"/>
          <w:sz w:val="21"/>
          <w:szCs w:val="21"/>
        </w:rPr>
        <w:t>1/2</w:t>
      </w:r>
      <w:r>
        <w:rPr>
          <w:rFonts w:ascii="宋体e眠副浡渀." w:eastAsia="宋体e眠副浡渀." w:hAnsi="Times New Roman" w:cs="宋体e眠副浡渀." w:hint="eastAsia"/>
          <w:sz w:val="21"/>
          <w:szCs w:val="21"/>
        </w:rPr>
        <w:t>，具有副高及以上职称骨干教师不少于</w:t>
      </w:r>
      <w:r>
        <w:rPr>
          <w:rFonts w:ascii="Times New Roman" w:eastAsia="宋体e眠副浡渀." w:hAnsi="Times New Roman" w:cs="Times New Roman"/>
          <w:sz w:val="21"/>
          <w:szCs w:val="21"/>
        </w:rPr>
        <w:t>5</w:t>
      </w:r>
      <w:r>
        <w:rPr>
          <w:rFonts w:ascii="宋体e眠副浡渀." w:eastAsia="宋体e眠副浡渀." w:hAnsi="Times New Roman" w:cs="宋体e眠副浡渀." w:hint="eastAsia"/>
          <w:sz w:val="21"/>
          <w:szCs w:val="21"/>
        </w:rPr>
        <w:t>人；获得外单位硕士及以上学位的比例不少于</w:t>
      </w:r>
      <w:r>
        <w:rPr>
          <w:rFonts w:ascii="Times New Roman" w:eastAsia="宋体e眠副浡渀." w:hAnsi="Times New Roman" w:cs="Times New Roman"/>
          <w:sz w:val="21"/>
          <w:szCs w:val="21"/>
        </w:rPr>
        <w:t>1/5</w:t>
      </w:r>
      <w:r>
        <w:rPr>
          <w:rFonts w:ascii="宋体e眠副浡渀." w:eastAsia="宋体e眠副浡渀." w:hAnsi="Times New Roman" w:cs="宋体e眠副浡渀." w:hint="eastAsia"/>
          <w:sz w:val="21"/>
          <w:szCs w:val="21"/>
        </w:rPr>
        <w:t>；具有实践经验的教师（具有职业资格证书或具备相应行业工作经验或承担过工程技术类课题）的比例不少于</w:t>
      </w:r>
      <w:r>
        <w:rPr>
          <w:rFonts w:ascii="Times New Roman" w:eastAsia="宋体e眠副浡渀." w:hAnsi="Times New Roman" w:cs="Times New Roman"/>
          <w:sz w:val="21"/>
          <w:szCs w:val="21"/>
        </w:rPr>
        <w:t>1/3</w:t>
      </w:r>
      <w:r>
        <w:rPr>
          <w:rFonts w:ascii="宋体e眠副浡渀." w:eastAsia="宋体e眠副浡渀." w:hAnsi="Times New Roman" w:cs="宋体e眠副浡渀." w:hint="eastAsia"/>
          <w:sz w:val="21"/>
          <w:szCs w:val="21"/>
        </w:rPr>
        <w:t>。</w:t>
      </w:r>
    </w:p>
    <w:p w:rsidR="00983A35" w:rsidRDefault="00983A35" w:rsidP="00983A35">
      <w:pPr>
        <w:pStyle w:val="Default"/>
        <w:rPr>
          <w:rFonts w:ascii="宋体e眠副浡渀." w:eastAsia="宋体e眠副浡渀." w:hAnsi="Times New Roman" w:cs="宋体e眠副浡渀."/>
          <w:sz w:val="21"/>
          <w:szCs w:val="21"/>
        </w:rPr>
      </w:pPr>
      <w:r>
        <w:rPr>
          <w:rFonts w:ascii="Times New Roman" w:eastAsia="宋体e眠副浡渀." w:hAnsi="Times New Roman" w:cs="Times New Roman"/>
          <w:b/>
          <w:bCs/>
          <w:sz w:val="21"/>
          <w:szCs w:val="21"/>
        </w:rPr>
        <w:t>4</w:t>
      </w:r>
      <w:r>
        <w:rPr>
          <w:rFonts w:ascii="宋体e眠副浡渀." w:eastAsia="宋体e眠副浡渀." w:hAnsi="Times New Roman" w:cs="宋体e眠副浡渀." w:hint="eastAsia"/>
          <w:sz w:val="21"/>
          <w:szCs w:val="21"/>
        </w:rPr>
        <w:t>．骨干教师。骨干教师应有较高的专业技术水平、丰富的工程实践经验和人才培养经验，有不少于</w:t>
      </w:r>
      <w:r>
        <w:rPr>
          <w:rFonts w:ascii="Times New Roman" w:eastAsia="宋体e眠副浡渀." w:hAnsi="Times New Roman" w:cs="Times New Roman"/>
          <w:sz w:val="21"/>
          <w:szCs w:val="21"/>
        </w:rPr>
        <w:t>1/5</w:t>
      </w:r>
      <w:r>
        <w:rPr>
          <w:rFonts w:ascii="宋体e眠副浡渀." w:eastAsia="宋体e眠副浡渀." w:hAnsi="Times New Roman" w:cs="宋体e眠副浡渀." w:hint="eastAsia"/>
          <w:sz w:val="21"/>
          <w:szCs w:val="21"/>
        </w:rPr>
        <w:t>的教师参与过本单位或其他单位工程硕士研究生的指导工作。</w:t>
      </w:r>
    </w:p>
    <w:p w:rsidR="00983A35" w:rsidRDefault="00983A35" w:rsidP="00983A35">
      <w:pPr>
        <w:pStyle w:val="Default"/>
        <w:rPr>
          <w:rFonts w:hAnsi="Times New Roman"/>
          <w:sz w:val="21"/>
          <w:szCs w:val="21"/>
        </w:rPr>
      </w:pPr>
      <w:r>
        <w:rPr>
          <w:rFonts w:hAnsi="Times New Roman" w:hint="eastAsia"/>
          <w:sz w:val="21"/>
          <w:szCs w:val="21"/>
        </w:rPr>
        <w:t>三、人才培养</w:t>
      </w:r>
    </w:p>
    <w:p w:rsidR="00983A35" w:rsidRDefault="00983A35" w:rsidP="00983A35">
      <w:pPr>
        <w:pStyle w:val="Default"/>
        <w:rPr>
          <w:rFonts w:ascii="宋体e眠副浡渀." w:eastAsia="宋体e眠副浡渀." w:hAnsi="Times New Roman" w:cs="宋体e眠副浡渀."/>
          <w:sz w:val="21"/>
          <w:szCs w:val="21"/>
        </w:rPr>
      </w:pPr>
      <w:r>
        <w:rPr>
          <w:rFonts w:ascii="Times New Roman" w:hAnsi="Times New Roman" w:cs="Times New Roman"/>
          <w:b/>
          <w:bCs/>
          <w:sz w:val="21"/>
          <w:szCs w:val="21"/>
        </w:rPr>
        <w:t>5</w:t>
      </w:r>
      <w:r>
        <w:rPr>
          <w:rFonts w:ascii="宋体e眠副浡渀." w:eastAsia="宋体e眠副浡渀." w:hAnsi="Times New Roman" w:cs="宋体e眠副浡渀." w:hint="eastAsia"/>
          <w:sz w:val="21"/>
          <w:szCs w:val="21"/>
        </w:rPr>
        <w:t>．课程与教学。制订本领域专业学位硕士研究生培养方案，并符合《工程硕士专业学位基本要求》和全国工程专业学位研究生教育指导委员会关于制订培养方案指导性意见的相关规定。</w:t>
      </w:r>
    </w:p>
    <w:p w:rsidR="00983A35" w:rsidRDefault="00983A35" w:rsidP="00983A35">
      <w:pPr>
        <w:pStyle w:val="Default"/>
        <w:rPr>
          <w:rFonts w:ascii="宋体e眠副浡渀." w:eastAsia="宋体e眠副浡渀." w:hAnsi="Times New Roman" w:cs="宋体e眠副浡渀."/>
          <w:sz w:val="21"/>
          <w:szCs w:val="21"/>
        </w:rPr>
      </w:pPr>
      <w:r>
        <w:rPr>
          <w:rFonts w:ascii="Times New Roman" w:eastAsia="宋体e眠副浡渀." w:hAnsi="Times New Roman" w:cs="Times New Roman"/>
          <w:b/>
          <w:bCs/>
          <w:sz w:val="21"/>
          <w:szCs w:val="21"/>
        </w:rPr>
        <w:t>6</w:t>
      </w:r>
      <w:r>
        <w:rPr>
          <w:rFonts w:ascii="宋体e眠副浡渀." w:eastAsia="宋体e眠副浡渀." w:hAnsi="Times New Roman" w:cs="宋体e眠副浡渀." w:hint="eastAsia"/>
          <w:sz w:val="21"/>
          <w:szCs w:val="21"/>
        </w:rPr>
        <w:t>．培养质量。相关院系有</w:t>
      </w:r>
      <w:r>
        <w:rPr>
          <w:rFonts w:ascii="Times New Roman" w:eastAsia="宋体e眠副浡渀." w:hAnsi="Times New Roman" w:cs="Times New Roman"/>
          <w:sz w:val="21"/>
          <w:szCs w:val="21"/>
        </w:rPr>
        <w:t>4</w:t>
      </w:r>
      <w:r>
        <w:rPr>
          <w:rFonts w:ascii="宋体e眠副浡渀." w:eastAsia="宋体e眠副浡渀." w:hAnsi="Times New Roman" w:cs="宋体e眠副浡渀." w:hint="eastAsia"/>
          <w:sz w:val="21"/>
          <w:szCs w:val="21"/>
        </w:rPr>
        <w:t>届本科生毕业生或</w:t>
      </w:r>
      <w:r>
        <w:rPr>
          <w:rFonts w:ascii="Times New Roman" w:eastAsia="宋体e眠副浡渀." w:hAnsi="Times New Roman" w:cs="Times New Roman"/>
          <w:sz w:val="21"/>
          <w:szCs w:val="21"/>
        </w:rPr>
        <w:t>1</w:t>
      </w:r>
      <w:r>
        <w:rPr>
          <w:rFonts w:ascii="宋体e眠副浡渀." w:eastAsia="宋体e眠副浡渀." w:hAnsi="Times New Roman" w:cs="宋体e眠副浡渀." w:hint="eastAsia"/>
          <w:sz w:val="21"/>
          <w:szCs w:val="21"/>
        </w:rPr>
        <w:t>届硕士研究生毕业生，毕业本科生不少于</w:t>
      </w:r>
      <w:r>
        <w:rPr>
          <w:rFonts w:ascii="Times New Roman" w:eastAsia="宋体e眠副浡渀." w:hAnsi="Times New Roman" w:cs="Times New Roman"/>
          <w:sz w:val="21"/>
          <w:szCs w:val="21"/>
        </w:rPr>
        <w:t>60</w:t>
      </w:r>
      <w:r>
        <w:rPr>
          <w:rFonts w:ascii="宋体e眠副浡渀." w:eastAsia="宋体e眠副浡渀." w:hAnsi="Times New Roman" w:cs="宋体e眠副浡渀." w:hint="eastAsia"/>
          <w:sz w:val="21"/>
          <w:szCs w:val="21"/>
        </w:rPr>
        <w:t>人或毕业硕士研究生不少于</w:t>
      </w:r>
      <w:r>
        <w:rPr>
          <w:rFonts w:ascii="Times New Roman" w:eastAsia="宋体e眠副浡渀." w:hAnsi="Times New Roman" w:cs="Times New Roman"/>
          <w:sz w:val="21"/>
          <w:szCs w:val="21"/>
        </w:rPr>
        <w:t>10</w:t>
      </w:r>
      <w:r>
        <w:rPr>
          <w:rFonts w:ascii="宋体e眠副浡渀." w:eastAsia="宋体e眠副浡渀." w:hAnsi="Times New Roman" w:cs="宋体e眠副浡渀." w:hint="eastAsia"/>
          <w:sz w:val="21"/>
          <w:szCs w:val="21"/>
        </w:rPr>
        <w:t>人。有完备和规范的研究生培养质量保证体系，在相关领域的教育教学成果中获得省部级及以上奖励或表彰。支撑工程领域方向的相关学科的毕业生就业情况良好，用人单位评价高。</w:t>
      </w:r>
    </w:p>
    <w:p w:rsidR="00983A35" w:rsidRDefault="00983A35" w:rsidP="00983A35">
      <w:pPr>
        <w:pStyle w:val="Default"/>
        <w:rPr>
          <w:rFonts w:hAnsi="Times New Roman"/>
          <w:sz w:val="21"/>
          <w:szCs w:val="21"/>
        </w:rPr>
      </w:pPr>
      <w:r>
        <w:rPr>
          <w:rFonts w:hAnsi="Times New Roman" w:hint="eastAsia"/>
          <w:sz w:val="21"/>
          <w:szCs w:val="21"/>
        </w:rPr>
        <w:t>四、培养环境与条件</w:t>
      </w:r>
    </w:p>
    <w:p w:rsidR="00983A35" w:rsidRDefault="00983A35" w:rsidP="00983A35">
      <w:pPr>
        <w:pStyle w:val="Default"/>
        <w:rPr>
          <w:rFonts w:ascii="宋体e眠副浡渀." w:eastAsia="宋体e眠副浡渀." w:hAnsi="Times New Roman" w:cs="宋体e眠副浡渀."/>
          <w:sz w:val="21"/>
          <w:szCs w:val="21"/>
        </w:rPr>
      </w:pPr>
      <w:r>
        <w:rPr>
          <w:rFonts w:ascii="Times New Roman" w:hAnsi="Times New Roman" w:cs="Times New Roman"/>
          <w:b/>
          <w:bCs/>
          <w:sz w:val="21"/>
          <w:szCs w:val="21"/>
        </w:rPr>
        <w:t>7</w:t>
      </w:r>
      <w:r>
        <w:rPr>
          <w:rFonts w:ascii="宋体e眠副浡渀." w:eastAsia="宋体e眠副浡渀." w:hAnsi="Times New Roman" w:cs="宋体e眠副浡渀." w:hint="eastAsia"/>
          <w:sz w:val="21"/>
          <w:szCs w:val="21"/>
        </w:rPr>
        <w:t>．科研水平。具有较好的科研基础，近</w:t>
      </w:r>
      <w:r>
        <w:rPr>
          <w:rFonts w:ascii="Times New Roman" w:eastAsia="宋体e眠副浡渀." w:hAnsi="Times New Roman" w:cs="Times New Roman"/>
          <w:sz w:val="21"/>
          <w:szCs w:val="21"/>
        </w:rPr>
        <w:t>5</w:t>
      </w:r>
      <w:r>
        <w:rPr>
          <w:rFonts w:ascii="宋体e眠副浡渀." w:eastAsia="宋体e眠副浡渀." w:hAnsi="Times New Roman" w:cs="宋体e眠副浡渀." w:hint="eastAsia"/>
          <w:sz w:val="21"/>
          <w:szCs w:val="21"/>
        </w:rPr>
        <w:t>年师均年科研经费不少于</w:t>
      </w:r>
      <w:r>
        <w:rPr>
          <w:rFonts w:ascii="Times New Roman" w:eastAsia="宋体e眠副浡渀." w:hAnsi="Times New Roman" w:cs="Times New Roman"/>
          <w:sz w:val="21"/>
          <w:szCs w:val="21"/>
        </w:rPr>
        <w:t>10</w:t>
      </w:r>
      <w:r>
        <w:rPr>
          <w:rFonts w:ascii="宋体e眠副浡渀." w:eastAsia="宋体e眠副浡渀." w:hAnsi="Times New Roman" w:cs="宋体e眠副浡渀." w:hint="eastAsia"/>
          <w:sz w:val="21"/>
          <w:szCs w:val="21"/>
        </w:rPr>
        <w:t>万元，年科研经费不少于</w:t>
      </w:r>
      <w:r>
        <w:rPr>
          <w:rFonts w:ascii="Times New Roman" w:eastAsia="宋体e眠副浡渀." w:hAnsi="Times New Roman" w:cs="Times New Roman"/>
          <w:sz w:val="21"/>
          <w:szCs w:val="21"/>
        </w:rPr>
        <w:t>200</w:t>
      </w:r>
      <w:r>
        <w:rPr>
          <w:rFonts w:ascii="宋体e眠副浡渀." w:eastAsia="宋体e眠副浡渀." w:hAnsi="Times New Roman" w:cs="宋体e眠副浡渀." w:hint="eastAsia"/>
          <w:sz w:val="21"/>
          <w:szCs w:val="21"/>
        </w:rPr>
        <w:t>万元（其中工程技术类课题经费不少于</w:t>
      </w:r>
      <w:r>
        <w:rPr>
          <w:rFonts w:ascii="Times New Roman" w:eastAsia="宋体e眠副浡渀." w:hAnsi="Times New Roman" w:cs="Times New Roman"/>
          <w:sz w:val="21"/>
          <w:szCs w:val="21"/>
        </w:rPr>
        <w:t>100</w:t>
      </w:r>
      <w:r>
        <w:rPr>
          <w:rFonts w:ascii="宋体e眠副浡渀." w:eastAsia="宋体e眠副浡渀." w:hAnsi="Times New Roman" w:cs="宋体e眠副浡渀." w:hint="eastAsia"/>
          <w:sz w:val="21"/>
          <w:szCs w:val="21"/>
        </w:rPr>
        <w:t>万元，省部级及以上纵向科研经费所占比例不少于</w:t>
      </w:r>
      <w:r>
        <w:rPr>
          <w:rFonts w:ascii="Times New Roman" w:eastAsia="宋体e眠副浡渀." w:hAnsi="Times New Roman" w:cs="Times New Roman"/>
          <w:sz w:val="21"/>
          <w:szCs w:val="21"/>
        </w:rPr>
        <w:t>20%</w:t>
      </w:r>
      <w:r>
        <w:rPr>
          <w:rFonts w:ascii="宋体e眠副浡渀." w:eastAsia="宋体e眠副浡渀." w:hAnsi="Times New Roman" w:cs="宋体e眠副浡渀." w:hint="eastAsia"/>
          <w:sz w:val="21"/>
          <w:szCs w:val="21"/>
        </w:rPr>
        <w:t>）；近</w:t>
      </w:r>
      <w:r>
        <w:rPr>
          <w:rFonts w:ascii="Times New Roman" w:eastAsia="宋体e眠副浡渀." w:hAnsi="Times New Roman" w:cs="Times New Roman"/>
          <w:sz w:val="21"/>
          <w:szCs w:val="21"/>
        </w:rPr>
        <w:t>5</w:t>
      </w:r>
      <w:r>
        <w:rPr>
          <w:rFonts w:ascii="宋体e眠副浡渀." w:eastAsia="宋体e眠副浡渀." w:hAnsi="Times New Roman" w:cs="宋体e眠副浡渀." w:hint="eastAsia"/>
          <w:sz w:val="21"/>
          <w:szCs w:val="21"/>
        </w:rPr>
        <w:t>年在本领域取得高水平学术成果不少于</w:t>
      </w:r>
      <w:r>
        <w:rPr>
          <w:rFonts w:ascii="Times New Roman" w:eastAsia="宋体e眠副浡渀." w:hAnsi="Times New Roman" w:cs="Times New Roman"/>
          <w:sz w:val="21"/>
          <w:szCs w:val="21"/>
        </w:rPr>
        <w:t>3</w:t>
      </w:r>
      <w:r>
        <w:rPr>
          <w:rFonts w:ascii="宋体e眠副浡渀." w:eastAsia="宋体e眠副浡渀." w:hAnsi="Times New Roman" w:cs="宋体e眠副浡渀." w:hint="eastAsia"/>
          <w:sz w:val="21"/>
          <w:szCs w:val="21"/>
        </w:rPr>
        <w:t>项，有一定数量的省部级（或一级行业协会）科学技术奖或应用成果（授权的发明专利、获得应用的技术规范或行业标准）。近</w:t>
      </w:r>
      <w:r>
        <w:rPr>
          <w:rFonts w:ascii="Times New Roman" w:eastAsia="宋体e眠副浡渀." w:hAnsi="Times New Roman" w:cs="Times New Roman"/>
          <w:sz w:val="21"/>
          <w:szCs w:val="21"/>
        </w:rPr>
        <w:t>5</w:t>
      </w:r>
      <w:r>
        <w:rPr>
          <w:rFonts w:ascii="宋体e眠副浡渀." w:eastAsia="宋体e眠副浡渀." w:hAnsi="Times New Roman" w:cs="宋体e眠副浡渀." w:hint="eastAsia"/>
          <w:sz w:val="21"/>
          <w:szCs w:val="21"/>
        </w:rPr>
        <w:t>年，每位骨干教师主持过省部级及以上科研课题，且至少有</w:t>
      </w:r>
      <w:r>
        <w:rPr>
          <w:rFonts w:ascii="Times New Roman" w:eastAsia="宋体e眠副浡渀." w:hAnsi="Times New Roman" w:cs="Times New Roman"/>
          <w:sz w:val="21"/>
          <w:szCs w:val="21"/>
        </w:rPr>
        <w:t>1</w:t>
      </w:r>
      <w:r>
        <w:rPr>
          <w:rFonts w:ascii="宋体e眠副浡渀." w:eastAsia="宋体e眠副浡渀." w:hAnsi="Times New Roman" w:cs="宋体e眠副浡渀." w:hint="eastAsia"/>
          <w:sz w:val="21"/>
          <w:szCs w:val="21"/>
        </w:rPr>
        <w:t>项工程技术类课题在研，有一定数量的高水平学术成果或授权发明专利。</w:t>
      </w:r>
    </w:p>
    <w:p w:rsidR="00983A35" w:rsidRDefault="00983A35" w:rsidP="00983A35">
      <w:pPr>
        <w:pStyle w:val="Default"/>
        <w:rPr>
          <w:rFonts w:ascii="宋体e眠副浡渀." w:eastAsia="宋体e眠副浡渀." w:hAnsi="Times New Roman" w:cs="宋体e眠副浡渀."/>
          <w:sz w:val="21"/>
          <w:szCs w:val="21"/>
        </w:rPr>
      </w:pPr>
      <w:r>
        <w:rPr>
          <w:rFonts w:ascii="Times New Roman" w:eastAsia="宋体e眠副浡渀." w:hAnsi="Times New Roman" w:cs="Times New Roman"/>
          <w:b/>
          <w:bCs/>
          <w:sz w:val="21"/>
          <w:szCs w:val="21"/>
        </w:rPr>
        <w:t>8</w:t>
      </w:r>
      <w:r>
        <w:rPr>
          <w:rFonts w:ascii="宋体e眠副浡渀." w:eastAsia="宋体e眠副浡渀." w:hAnsi="Times New Roman" w:cs="宋体e眠副浡渀." w:hint="eastAsia"/>
          <w:sz w:val="21"/>
          <w:szCs w:val="21"/>
        </w:rPr>
        <w:t>．实践教学。与行（企）业联合培养工程硕士研究生，在支撑工程领域方向的相关学科开展案例教学和实践教学，确保研究生能够参与工程技术类课题，有效提高研究生解决实际问题的能力。</w:t>
      </w:r>
    </w:p>
    <w:p w:rsidR="002F7C0C" w:rsidRDefault="00983A35" w:rsidP="00983A35">
      <w:r>
        <w:rPr>
          <w:rFonts w:ascii="Times New Roman" w:eastAsia="宋体e眠副浡渀." w:hAnsi="Times New Roman" w:cs="Times New Roman"/>
          <w:b/>
          <w:bCs/>
          <w:szCs w:val="21"/>
        </w:rPr>
        <w:t>9</w:t>
      </w:r>
      <w:r>
        <w:rPr>
          <w:rFonts w:ascii="宋体e眠副浡渀." w:eastAsia="宋体e眠副浡渀." w:hAnsi="Times New Roman" w:cs="宋体e眠副浡渀." w:hint="eastAsia"/>
          <w:szCs w:val="21"/>
        </w:rPr>
        <w:t>．支撑条件。建有应用研究的专业实验室或公共研究平台，保证每位研究生都能进入实验室或使用公共研究平台，有足够的专业文献资料、现代化教学设施。至少有</w:t>
      </w:r>
      <w:r>
        <w:rPr>
          <w:rFonts w:ascii="Times New Roman" w:eastAsia="宋体e眠副浡渀." w:hAnsi="Times New Roman" w:cs="Times New Roman"/>
          <w:szCs w:val="21"/>
        </w:rPr>
        <w:t>2</w:t>
      </w:r>
      <w:r>
        <w:rPr>
          <w:rFonts w:ascii="宋体e眠副浡渀." w:eastAsia="宋体e眠副浡渀." w:hAnsi="Times New Roman" w:cs="宋体e眠副浡渀." w:hint="eastAsia"/>
          <w:szCs w:val="21"/>
        </w:rPr>
        <w:t>个职责明确、长期稳定的联合培养基地。联合培养基地至少有</w:t>
      </w:r>
      <w:r>
        <w:rPr>
          <w:rFonts w:ascii="Times New Roman" w:eastAsia="宋体e眠副浡渀." w:hAnsi="Times New Roman" w:cs="Times New Roman"/>
          <w:szCs w:val="21"/>
        </w:rPr>
        <w:t>5</w:t>
      </w:r>
      <w:r>
        <w:rPr>
          <w:rFonts w:ascii="宋体e眠副浡渀." w:eastAsia="宋体e眠副浡渀." w:hAnsi="Times New Roman" w:cs="宋体e眠副浡渀." w:hint="eastAsia"/>
          <w:szCs w:val="21"/>
        </w:rPr>
        <w:t>名具有副高及以上职称的专业技术人员能够参与工程硕士研究生的全程指导；有满足专业实践教学、培养专业实践能力所需的场地和设施，能够为工程硕士研究生培养提供条件。在学风建设、学术道德、工程伦理等方面具有健全的规章制度及有效的防范机制；具有有效的专业学位研究生培养的管理与运行机制，有专门的机构和人员管理专业学位研究生培养，并建立完备的专业学位研究生奖助体系。</w:t>
      </w:r>
    </w:p>
    <w:sectPr w:rsidR="002F7C0C" w:rsidSect="002F7C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483" w:rsidRDefault="00257483" w:rsidP="00983A35">
      <w:r>
        <w:separator/>
      </w:r>
    </w:p>
  </w:endnote>
  <w:endnote w:type="continuationSeparator" w:id="0">
    <w:p w:rsidR="00257483" w:rsidRDefault="00257483" w:rsidP="00983A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e眠副浡渀.">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483" w:rsidRDefault="00257483" w:rsidP="00983A35">
      <w:r>
        <w:separator/>
      </w:r>
    </w:p>
  </w:footnote>
  <w:footnote w:type="continuationSeparator" w:id="0">
    <w:p w:rsidR="00257483" w:rsidRDefault="00257483" w:rsidP="00983A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3A35"/>
    <w:rsid w:val="00257483"/>
    <w:rsid w:val="002F7C0C"/>
    <w:rsid w:val="004A3F2F"/>
    <w:rsid w:val="00683B31"/>
    <w:rsid w:val="00983A35"/>
    <w:rsid w:val="00E036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C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3A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3A35"/>
    <w:rPr>
      <w:sz w:val="18"/>
      <w:szCs w:val="18"/>
    </w:rPr>
  </w:style>
  <w:style w:type="paragraph" w:styleId="a4">
    <w:name w:val="footer"/>
    <w:basedOn w:val="a"/>
    <w:link w:val="Char0"/>
    <w:uiPriority w:val="99"/>
    <w:semiHidden/>
    <w:unhideWhenUsed/>
    <w:rsid w:val="00983A3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83A35"/>
    <w:rPr>
      <w:sz w:val="18"/>
      <w:szCs w:val="18"/>
    </w:rPr>
  </w:style>
  <w:style w:type="paragraph" w:customStyle="1" w:styleId="Default">
    <w:name w:val="Default"/>
    <w:rsid w:val="00983A35"/>
    <w:pPr>
      <w:widowControl w:val="0"/>
      <w:autoSpaceDE w:val="0"/>
      <w:autoSpaceDN w:val="0"/>
      <w:adjustRightInd w:val="0"/>
    </w:pPr>
    <w:rPr>
      <w:rFonts w:ascii="黑体" w:eastAsia="黑体" w:cs="黑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1181</Characters>
  <Application>Microsoft Office Word</Application>
  <DocSecurity>0</DocSecurity>
  <Lines>9</Lines>
  <Paragraphs>2</Paragraphs>
  <ScaleCrop>false</ScaleCrop>
  <Company>CHINA</Company>
  <LinksUpToDate>false</LinksUpToDate>
  <CharactersWithSpaces>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2017-05-08T06:59:00Z</dcterms:created>
  <dcterms:modified xsi:type="dcterms:W3CDTF">2017-05-08T07:00:00Z</dcterms:modified>
</cp:coreProperties>
</file>